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0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b/>
          <w:color w:val="000000"/>
          <w:sz w:val="28"/>
          <w:szCs w:val="28"/>
          <w:highlight w:val="white"/>
        </w:rPr>
        <w:t>MAKALE BAŞLIĞI / ARTICLE TITLE</w:t>
      </w:r>
    </w:p>
    <w:p w14:paraId="00000021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ind w:right="276"/>
        <w:jc w:val="both"/>
        <w:rPr>
          <w:b/>
          <w:color w:val="000000"/>
          <w:sz w:val="20"/>
          <w:szCs w:val="20"/>
          <w:highlight w:val="white"/>
        </w:rPr>
      </w:pPr>
      <w:proofErr w:type="spellStart"/>
      <w:r>
        <w:rPr>
          <w:b/>
          <w:color w:val="000000"/>
          <w:sz w:val="20"/>
          <w:szCs w:val="20"/>
          <w:highlight w:val="white"/>
        </w:rPr>
        <w:t>Öz</w:t>
      </w:r>
      <w:proofErr w:type="spellEnd"/>
    </w:p>
    <w:p w14:paraId="00000022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ind w:right="276"/>
        <w:jc w:val="both"/>
        <w:rPr>
          <w:b/>
          <w:color w:val="000000"/>
          <w:sz w:val="20"/>
          <w:szCs w:val="20"/>
          <w:highlight w:val="white"/>
        </w:rPr>
      </w:pPr>
    </w:p>
    <w:p w14:paraId="00000023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ind w:right="276"/>
        <w:jc w:val="both"/>
        <w:rPr>
          <w:color w:val="000000"/>
          <w:sz w:val="20"/>
          <w:szCs w:val="20"/>
          <w:highlight w:val="white"/>
        </w:rPr>
      </w:pP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r>
        <w:rPr>
          <w:color w:val="000000"/>
          <w:sz w:val="20"/>
          <w:szCs w:val="20"/>
          <w:highlight w:val="white"/>
        </w:rPr>
        <w:t>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</w:t>
      </w:r>
      <w:r>
        <w:rPr>
          <w:color w:val="000000"/>
          <w:sz w:val="20"/>
          <w:szCs w:val="20"/>
          <w:highlight w:val="white"/>
        </w:rPr>
        <w:t>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</w:t>
      </w:r>
      <w:r>
        <w:rPr>
          <w:color w:val="000000"/>
          <w:sz w:val="20"/>
          <w:szCs w:val="20"/>
          <w:highlight w:val="white"/>
        </w:rPr>
        <w:t>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r>
        <w:rPr>
          <w:color w:val="000000"/>
          <w:sz w:val="20"/>
          <w:szCs w:val="20"/>
          <w:highlight w:val="white"/>
        </w:rPr>
        <w:t>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(70-150 </w:t>
      </w:r>
      <w:proofErr w:type="spellStart"/>
      <w:r>
        <w:rPr>
          <w:color w:val="000000"/>
          <w:sz w:val="20"/>
          <w:szCs w:val="20"/>
          <w:highlight w:val="white"/>
        </w:rPr>
        <w:t>sözcük</w:t>
      </w:r>
      <w:proofErr w:type="spellEnd"/>
      <w:r>
        <w:rPr>
          <w:color w:val="000000"/>
          <w:sz w:val="20"/>
          <w:szCs w:val="20"/>
          <w:highlight w:val="white"/>
        </w:rPr>
        <w:t>).</w:t>
      </w:r>
    </w:p>
    <w:p w14:paraId="00000024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</w:rPr>
      </w:pPr>
    </w:p>
    <w:p w14:paraId="00000025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highlight w:val="white"/>
        </w:rPr>
      </w:pPr>
      <w:proofErr w:type="spellStart"/>
      <w:r>
        <w:rPr>
          <w:b/>
          <w:color w:val="000000"/>
          <w:sz w:val="20"/>
          <w:szCs w:val="20"/>
          <w:highlight w:val="white"/>
        </w:rPr>
        <w:t>Anahtar</w:t>
      </w:r>
      <w:proofErr w:type="spellEnd"/>
      <w:r>
        <w:rPr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b/>
          <w:color w:val="000000"/>
          <w:sz w:val="20"/>
          <w:szCs w:val="20"/>
          <w:highlight w:val="white"/>
        </w:rPr>
        <w:t>Kelimeler</w:t>
      </w:r>
      <w:proofErr w:type="spellEnd"/>
    </w:p>
    <w:p w14:paraId="00000026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</w:rPr>
      </w:pP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 (4-8 </w:t>
      </w:r>
      <w:proofErr w:type="spellStart"/>
      <w:r>
        <w:rPr>
          <w:color w:val="000000"/>
          <w:sz w:val="20"/>
          <w:szCs w:val="20"/>
          <w:highlight w:val="white"/>
        </w:rPr>
        <w:t>sözcük</w:t>
      </w:r>
      <w:proofErr w:type="spellEnd"/>
      <w:r>
        <w:rPr>
          <w:color w:val="000000"/>
          <w:sz w:val="20"/>
          <w:szCs w:val="20"/>
          <w:highlight w:val="white"/>
        </w:rPr>
        <w:t>)</w:t>
      </w:r>
    </w:p>
    <w:p w14:paraId="00000027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</w:rPr>
      </w:pPr>
    </w:p>
    <w:p w14:paraId="00000028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Abstract</w:t>
      </w:r>
      <w:r>
        <w:rPr>
          <w:color w:val="000000"/>
          <w:sz w:val="20"/>
          <w:szCs w:val="20"/>
          <w:highlight w:val="white"/>
        </w:rPr>
        <w:t xml:space="preserve">: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</w:t>
      </w:r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</w:t>
      </w:r>
      <w:r>
        <w:rPr>
          <w:color w:val="000000"/>
          <w:sz w:val="20"/>
          <w:szCs w:val="20"/>
          <w:highlight w:val="white"/>
        </w:rPr>
        <w:t>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</w:t>
      </w:r>
      <w:r>
        <w:rPr>
          <w:color w:val="000000"/>
          <w:sz w:val="20"/>
          <w:szCs w:val="20"/>
          <w:highlight w:val="white"/>
        </w:rPr>
        <w:t>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.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</w:t>
      </w:r>
      <w:r>
        <w:rPr>
          <w:color w:val="000000"/>
          <w:sz w:val="20"/>
          <w:szCs w:val="20"/>
          <w:highlight w:val="white"/>
        </w:rPr>
        <w:t>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xxxxxxxxx</w:t>
      </w:r>
      <w:proofErr w:type="spellEnd"/>
      <w:r>
        <w:rPr>
          <w:color w:val="000000"/>
          <w:sz w:val="20"/>
          <w:szCs w:val="20"/>
          <w:highlight w:val="white"/>
        </w:rPr>
        <w:t xml:space="preserve"> (70-150 words).</w:t>
      </w:r>
    </w:p>
    <w:p w14:paraId="00000029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highlight w:val="white"/>
        </w:rPr>
      </w:pPr>
    </w:p>
    <w:p w14:paraId="0000002A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Keywords</w:t>
      </w:r>
    </w:p>
    <w:p w14:paraId="0000002B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color w:val="000000"/>
          <w:sz w:val="20"/>
          <w:szCs w:val="20"/>
          <w:highlight w:val="white"/>
        </w:rPr>
        <w:t>xxxxx</w:t>
      </w:r>
      <w:proofErr w:type="spellEnd"/>
      <w:r>
        <w:rPr>
          <w:color w:val="000000"/>
          <w:sz w:val="20"/>
          <w:szCs w:val="20"/>
          <w:highlight w:val="white"/>
        </w:rPr>
        <w:t xml:space="preserve"> (4-8 words)</w:t>
      </w:r>
    </w:p>
    <w:p w14:paraId="0000002C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bookmarkStart w:id="1" w:name="_heading=h.gjdgxs" w:colFirst="0" w:colLast="0"/>
      <w:bookmarkEnd w:id="1"/>
    </w:p>
    <w:p w14:paraId="0000002D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</w:p>
    <w:p w14:paraId="0000002E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2F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30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31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32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33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34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35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36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37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0"/>
          <w:szCs w:val="20"/>
          <w:highlight w:val="white"/>
        </w:rPr>
      </w:pPr>
    </w:p>
    <w:p w14:paraId="00000038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0"/>
          <w:szCs w:val="20"/>
          <w:highlight w:val="white"/>
        </w:rPr>
      </w:pPr>
    </w:p>
    <w:p w14:paraId="00000039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highlight w:val="white"/>
        </w:rPr>
      </w:pPr>
    </w:p>
    <w:p w14:paraId="0000003A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highlight w:val="white"/>
        </w:rPr>
      </w:pPr>
    </w:p>
    <w:p w14:paraId="0000003B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highlight w:val="white"/>
        </w:rPr>
      </w:pPr>
    </w:p>
    <w:p w14:paraId="0000003C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highlight w:val="white"/>
        </w:rPr>
      </w:pPr>
    </w:p>
    <w:p w14:paraId="0000003D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highlight w:val="white"/>
        </w:rPr>
      </w:pPr>
    </w:p>
    <w:p w14:paraId="0000003E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Giriş</w:t>
      </w:r>
      <w:proofErr w:type="spellEnd"/>
      <w:r>
        <w:rPr>
          <w:b/>
          <w:color w:val="000000"/>
        </w:rPr>
        <w:t xml:space="preserve"> / Introduction</w:t>
      </w:r>
    </w:p>
    <w:p w14:paraId="0000003F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color w:val="000000"/>
        </w:rPr>
      </w:pPr>
    </w:p>
    <w:p w14:paraId="00000040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</w:t>
      </w:r>
      <w:proofErr w:type="spellEnd"/>
      <w:r>
        <w:rPr>
          <w:color w:val="000000"/>
          <w:highlight w:val="white"/>
        </w:rPr>
        <w:t xml:space="preserve"> (</w:t>
      </w:r>
      <w:proofErr w:type="spellStart"/>
      <w:r>
        <w:rPr>
          <w:color w:val="000000"/>
          <w:highlight w:val="white"/>
        </w:rPr>
        <w:t>Yazılar</w:t>
      </w:r>
      <w:proofErr w:type="spellEnd"/>
      <w:r>
        <w:rPr>
          <w:color w:val="000000"/>
          <w:highlight w:val="white"/>
        </w:rPr>
        <w:t xml:space="preserve"> Times New Roman </w:t>
      </w:r>
      <w:proofErr w:type="spellStart"/>
      <w:r>
        <w:rPr>
          <w:color w:val="000000"/>
          <w:highlight w:val="white"/>
        </w:rPr>
        <w:t>formatında</w:t>
      </w:r>
      <w:proofErr w:type="spellEnd"/>
      <w:r>
        <w:rPr>
          <w:color w:val="000000"/>
          <w:highlight w:val="white"/>
        </w:rPr>
        <w:t xml:space="preserve"> 12 </w:t>
      </w:r>
      <w:proofErr w:type="spellStart"/>
      <w:r>
        <w:rPr>
          <w:color w:val="000000"/>
          <w:highlight w:val="white"/>
        </w:rPr>
        <w:t>punto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ve</w:t>
      </w:r>
      <w:proofErr w:type="spellEnd"/>
      <w:r>
        <w:rPr>
          <w:color w:val="000000"/>
          <w:highlight w:val="white"/>
        </w:rPr>
        <w:t xml:space="preserve"> 1,5 </w:t>
      </w:r>
      <w:proofErr w:type="spellStart"/>
      <w:r>
        <w:rPr>
          <w:color w:val="000000"/>
          <w:highlight w:val="white"/>
        </w:rPr>
        <w:t>satır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aralıklı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yazılmış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olarak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gönderilmelidir</w:t>
      </w:r>
      <w:proofErr w:type="spellEnd"/>
      <w:r>
        <w:rPr>
          <w:color w:val="000000"/>
          <w:highlight w:val="white"/>
        </w:rPr>
        <w:t xml:space="preserve"> / Manusc</w:t>
      </w:r>
      <w:r>
        <w:rPr>
          <w:color w:val="000000"/>
          <w:highlight w:val="white"/>
        </w:rPr>
        <w:t>ripts’ font size must be 12 and line spacing must be 1,5)</w:t>
      </w:r>
    </w:p>
    <w:p w14:paraId="00000041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7"/>
        <w:jc w:val="both"/>
        <w:rPr>
          <w:color w:val="000000"/>
          <w:highlight w:val="white"/>
        </w:rPr>
      </w:pPr>
    </w:p>
    <w:p w14:paraId="00000042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Xxxxxxxxx</w:t>
      </w:r>
      <w:proofErr w:type="spellEnd"/>
    </w:p>
    <w:p w14:paraId="00000043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color w:val="000000"/>
        </w:rPr>
      </w:pPr>
    </w:p>
    <w:p w14:paraId="00000044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  <w:highlight w:val="white"/>
          <w:vertAlign w:val="superscript"/>
        </w:rPr>
        <w:footnoteReference w:id="1"/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  <w:highlight w:val="white"/>
          <w:vertAlign w:val="superscript"/>
        </w:rPr>
        <w:footnoteReference w:id="2"/>
      </w:r>
    </w:p>
    <w:p w14:paraId="00000045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color w:val="000000"/>
          <w:highlight w:val="white"/>
        </w:rPr>
      </w:pPr>
    </w:p>
    <w:p w14:paraId="00000046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color w:val="000000"/>
        </w:rPr>
      </w:pPr>
      <w:r>
        <w:rPr>
          <w:color w:val="000000"/>
          <w:highlight w:val="white"/>
        </w:rPr>
        <w:tab/>
      </w:r>
      <w:r>
        <w:rPr>
          <w:b/>
          <w:color w:val="000000"/>
        </w:rPr>
        <w:t xml:space="preserve">1. 1. </w:t>
      </w:r>
      <w:proofErr w:type="spellStart"/>
      <w:r>
        <w:rPr>
          <w:b/>
          <w:color w:val="000000"/>
        </w:rPr>
        <w:t>Xxxxxxxxx</w:t>
      </w:r>
      <w:proofErr w:type="spellEnd"/>
    </w:p>
    <w:p w14:paraId="00000047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color w:val="000000"/>
        </w:rPr>
      </w:pPr>
    </w:p>
    <w:p w14:paraId="00000048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  <w:highlight w:val="white"/>
          <w:vertAlign w:val="superscript"/>
        </w:rPr>
        <w:footnoteReference w:id="3"/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  <w:highlight w:val="white"/>
          <w:vertAlign w:val="superscript"/>
        </w:rPr>
        <w:footnoteReference w:id="4"/>
      </w:r>
    </w:p>
    <w:p w14:paraId="00000049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</w:p>
    <w:p w14:paraId="0000004A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1. 2. </w:t>
      </w:r>
      <w:proofErr w:type="spellStart"/>
      <w:r>
        <w:rPr>
          <w:b/>
          <w:color w:val="000000"/>
        </w:rPr>
        <w:t>Xxxxxxxxx</w:t>
      </w:r>
      <w:proofErr w:type="spellEnd"/>
    </w:p>
    <w:p w14:paraId="0000004B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i/>
          <w:color w:val="000000"/>
        </w:rPr>
      </w:pPr>
    </w:p>
    <w:p w14:paraId="0000004C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  <w:highlight w:val="white"/>
          <w:vertAlign w:val="superscript"/>
        </w:rPr>
        <w:footnoteReference w:id="5"/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</w:t>
      </w:r>
      <w:r>
        <w:rPr>
          <w:color w:val="000000"/>
          <w:highlight w:val="white"/>
        </w:rPr>
        <w:t>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  <w:highlight w:val="white"/>
          <w:vertAlign w:val="superscript"/>
        </w:rPr>
        <w:footnoteReference w:id="6"/>
      </w:r>
    </w:p>
    <w:p w14:paraId="0000004D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</w:p>
    <w:p w14:paraId="0000004E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Xxxxxxxxx</w:t>
      </w:r>
      <w:proofErr w:type="spellEnd"/>
    </w:p>
    <w:p w14:paraId="0000004F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color w:val="000000"/>
        </w:rPr>
      </w:pPr>
    </w:p>
    <w:p w14:paraId="00000050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  <w:highlight w:val="white"/>
          <w:vertAlign w:val="superscript"/>
        </w:rPr>
        <w:footnoteReference w:id="7"/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>.</w:t>
      </w:r>
    </w:p>
    <w:p w14:paraId="00000051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</w:p>
    <w:p w14:paraId="00000052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2. 1. </w:t>
      </w:r>
      <w:proofErr w:type="spellStart"/>
      <w:r>
        <w:rPr>
          <w:b/>
          <w:color w:val="000000"/>
        </w:rPr>
        <w:t>Xxxxxxxxx</w:t>
      </w:r>
      <w:proofErr w:type="spellEnd"/>
    </w:p>
    <w:p w14:paraId="00000053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i/>
          <w:color w:val="000000"/>
        </w:rPr>
      </w:pPr>
    </w:p>
    <w:p w14:paraId="00000054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</w:t>
      </w:r>
      <w:r>
        <w:rPr>
          <w:color w:val="000000"/>
          <w:highlight w:val="white"/>
        </w:rPr>
        <w:t>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</w:t>
      </w:r>
      <w:proofErr w:type="spellEnd"/>
      <w:r>
        <w:rPr>
          <w:color w:val="000000"/>
          <w:highlight w:val="white"/>
        </w:rPr>
        <w:t>.</w:t>
      </w:r>
    </w:p>
    <w:p w14:paraId="00000055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</w:p>
    <w:p w14:paraId="00000056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Sonuç</w:t>
      </w:r>
      <w:proofErr w:type="spellEnd"/>
      <w:r>
        <w:rPr>
          <w:b/>
          <w:color w:val="000000"/>
        </w:rPr>
        <w:t xml:space="preserve"> / Conclusion</w:t>
      </w:r>
    </w:p>
    <w:p w14:paraId="00000057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283"/>
        <w:jc w:val="both"/>
        <w:rPr>
          <w:b/>
          <w:i/>
          <w:color w:val="000000"/>
        </w:rPr>
      </w:pPr>
    </w:p>
    <w:p w14:paraId="00000058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xxxxxxxxx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xxxxxxx</w:t>
      </w:r>
      <w:proofErr w:type="spellEnd"/>
      <w:r>
        <w:rPr>
          <w:color w:val="000000"/>
          <w:highlight w:val="white"/>
        </w:rPr>
        <w:t>.</w:t>
      </w:r>
    </w:p>
    <w:p w14:paraId="00000059" w14:textId="77777777" w:rsidR="00BB0D5E" w:rsidRDefault="00BB0D5E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b w:val="0"/>
          <w:sz w:val="20"/>
          <w:szCs w:val="20"/>
          <w:highlight w:val="white"/>
        </w:rPr>
      </w:pPr>
    </w:p>
    <w:p w14:paraId="0000005A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Kaynak</w:t>
      </w:r>
      <w:r>
        <w:rPr>
          <w:b/>
        </w:rPr>
        <w:t>ça</w:t>
      </w:r>
      <w:proofErr w:type="spellEnd"/>
      <w:r>
        <w:rPr>
          <w:b/>
          <w:color w:val="000000"/>
        </w:rPr>
        <w:t xml:space="preserve"> /</w:t>
      </w:r>
      <w:r>
        <w:rPr>
          <w:color w:val="000000"/>
        </w:rPr>
        <w:t xml:space="preserve"> </w:t>
      </w:r>
      <w:r>
        <w:rPr>
          <w:b/>
          <w:color w:val="000000"/>
        </w:rPr>
        <w:t>Bibliography</w:t>
      </w:r>
    </w:p>
    <w:p w14:paraId="0000005B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b/>
          <w:color w:val="000000"/>
        </w:rPr>
      </w:pPr>
    </w:p>
    <w:p w14:paraId="0000005C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color w:val="000000"/>
        </w:rPr>
      </w:pPr>
      <w:proofErr w:type="spellStart"/>
      <w:r>
        <w:rPr>
          <w:color w:val="000000"/>
        </w:rPr>
        <w:t>Lahiri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Jhumpa</w:t>
      </w:r>
      <w:proofErr w:type="spellEnd"/>
      <w:r>
        <w:rPr>
          <w:color w:val="000000"/>
        </w:rPr>
        <w:t xml:space="preserve">. </w:t>
      </w:r>
      <w:r>
        <w:rPr>
          <w:i/>
          <w:color w:val="000000"/>
        </w:rPr>
        <w:t>In Other Words</w:t>
      </w:r>
      <w:r>
        <w:rPr>
          <w:color w:val="000000"/>
        </w:rPr>
        <w:t>, trans. Ann Goldstein. New York: Alfred A. Knopf, 2016.</w:t>
      </w:r>
    </w:p>
    <w:p w14:paraId="0000005D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Melville, Herman. </w:t>
      </w:r>
      <w:r>
        <w:rPr>
          <w:i/>
          <w:color w:val="000000"/>
        </w:rPr>
        <w:t>Moby-Dick; or, The Whale</w:t>
      </w:r>
      <w:r>
        <w:rPr>
          <w:color w:val="000000"/>
        </w:rPr>
        <w:t>. New York: Harper &amp; Brothers, 1851, date of access: 4 December 2020.  http://mel.hofstra.edu/moby-dick-the-whale-proofs.html.</w:t>
      </w:r>
    </w:p>
    <w:p w14:paraId="0000005E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color w:val="000000"/>
        </w:rPr>
      </w:pPr>
      <w:proofErr w:type="spellStart"/>
      <w:r>
        <w:rPr>
          <w:color w:val="000000"/>
        </w:rPr>
        <w:t>Rutz</w:t>
      </w:r>
      <w:proofErr w:type="spellEnd"/>
      <w:r>
        <w:rPr>
          <w:color w:val="000000"/>
        </w:rPr>
        <w:t>, Cynthia Lillian. “King L</w:t>
      </w:r>
      <w:r>
        <w:rPr>
          <w:color w:val="000000"/>
        </w:rPr>
        <w:t>ear and Its Folktale Analogues.” PhD diss., University of Chicago, 2013.</w:t>
      </w:r>
    </w:p>
    <w:p w14:paraId="0000005F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color w:val="000000"/>
        </w:rPr>
      </w:pPr>
      <w:r>
        <w:rPr>
          <w:color w:val="000000"/>
        </w:rPr>
        <w:t xml:space="preserve">Satterfield, Susan. “Livy and the </w:t>
      </w:r>
      <w:proofErr w:type="spellStart"/>
      <w:r>
        <w:rPr>
          <w:color w:val="000000"/>
        </w:rPr>
        <w:t>Pax</w:t>
      </w:r>
      <w:proofErr w:type="spellEnd"/>
      <w:r>
        <w:rPr>
          <w:color w:val="000000"/>
        </w:rPr>
        <w:t xml:space="preserve"> Deum,” </w:t>
      </w:r>
      <w:r>
        <w:rPr>
          <w:i/>
          <w:color w:val="000000"/>
        </w:rPr>
        <w:t>Classical Philology</w:t>
      </w:r>
      <w:r>
        <w:rPr>
          <w:color w:val="000000"/>
        </w:rPr>
        <w:t xml:space="preserve"> 111, no. 2 (April 2016): 165-176.</w:t>
      </w:r>
    </w:p>
    <w:p w14:paraId="00000060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Smith, </w:t>
      </w:r>
      <w:proofErr w:type="spellStart"/>
      <w:r>
        <w:rPr>
          <w:color w:val="000000"/>
        </w:rPr>
        <w:t>Zadie</w:t>
      </w:r>
      <w:proofErr w:type="spellEnd"/>
      <w:r>
        <w:rPr>
          <w:color w:val="000000"/>
        </w:rPr>
        <w:t xml:space="preserve">. </w:t>
      </w:r>
      <w:r>
        <w:rPr>
          <w:i/>
          <w:color w:val="000000"/>
        </w:rPr>
        <w:t>Swing Time</w:t>
      </w:r>
      <w:r>
        <w:rPr>
          <w:color w:val="000000"/>
        </w:rPr>
        <w:t>. New York: Penguin Press, 2016.</w:t>
      </w:r>
    </w:p>
    <w:p w14:paraId="00000061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>Thoreau, Henry David. “Walk</w:t>
      </w:r>
      <w:r>
        <w:rPr>
          <w:color w:val="000000"/>
        </w:rPr>
        <w:t xml:space="preserve">ing,” in </w:t>
      </w:r>
      <w:r>
        <w:rPr>
          <w:i/>
          <w:color w:val="000000"/>
        </w:rPr>
        <w:t>The Making of the American Essay</w:t>
      </w:r>
      <w:r>
        <w:rPr>
          <w:color w:val="000000"/>
        </w:rPr>
        <w:t xml:space="preserve">, ed. John </w:t>
      </w:r>
      <w:proofErr w:type="spellStart"/>
      <w:r>
        <w:rPr>
          <w:color w:val="000000"/>
        </w:rPr>
        <w:t>D’Agata</w:t>
      </w:r>
      <w:proofErr w:type="spellEnd"/>
      <w:r>
        <w:rPr>
          <w:color w:val="000000"/>
        </w:rPr>
        <w:t xml:space="preserve">. Minneapolis: </w:t>
      </w:r>
      <w:proofErr w:type="spellStart"/>
      <w:r>
        <w:rPr>
          <w:color w:val="000000"/>
        </w:rPr>
        <w:t>Graywolf</w:t>
      </w:r>
      <w:proofErr w:type="spellEnd"/>
      <w:r>
        <w:rPr>
          <w:color w:val="000000"/>
        </w:rPr>
        <w:t xml:space="preserve"> Press, 2016.</w:t>
      </w:r>
    </w:p>
    <w:p w14:paraId="00000062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color w:val="000000"/>
        </w:rPr>
      </w:pPr>
    </w:p>
    <w:p w14:paraId="00000063" w14:textId="77777777" w:rsidR="00BB0D5E" w:rsidRDefault="00BB0D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color w:val="000000"/>
        </w:rPr>
      </w:pPr>
    </w:p>
    <w:sectPr w:rsidR="00BB0D5E">
      <w:headerReference w:type="default" r:id="rId8"/>
      <w:footerReference w:type="default" r:id="rId9"/>
      <w:pgSz w:w="11900" w:h="16840"/>
      <w:pgMar w:top="992" w:right="709" w:bottom="992" w:left="709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F53C" w14:textId="77777777" w:rsidR="00087D1A" w:rsidRDefault="00087D1A">
      <w:r>
        <w:separator/>
      </w:r>
    </w:p>
  </w:endnote>
  <w:endnote w:type="continuationSeparator" w:id="0">
    <w:p w14:paraId="470E5B8F" w14:textId="77777777" w:rsidR="00087D1A" w:rsidRDefault="0008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C" w14:textId="77777777" w:rsidR="00BB0D5E" w:rsidRDefault="00BB0D5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DA79" w14:textId="77777777" w:rsidR="00087D1A" w:rsidRDefault="00087D1A">
      <w:r>
        <w:separator/>
      </w:r>
    </w:p>
  </w:footnote>
  <w:footnote w:type="continuationSeparator" w:id="0">
    <w:p w14:paraId="6B7D6CE3" w14:textId="77777777" w:rsidR="00087D1A" w:rsidRDefault="00087D1A">
      <w:r>
        <w:continuationSeparator/>
      </w:r>
    </w:p>
  </w:footnote>
  <w:footnote w:id="1">
    <w:p w14:paraId="00000064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DipnotBavurusu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Zadie</w:t>
      </w:r>
      <w:proofErr w:type="spellEnd"/>
      <w:r>
        <w:rPr>
          <w:color w:val="000000"/>
          <w:sz w:val="20"/>
          <w:szCs w:val="20"/>
        </w:rPr>
        <w:t xml:space="preserve"> Smith, </w:t>
      </w:r>
      <w:r>
        <w:rPr>
          <w:i/>
          <w:color w:val="000000"/>
          <w:sz w:val="20"/>
          <w:szCs w:val="20"/>
        </w:rPr>
        <w:t>Swing Time</w:t>
      </w:r>
      <w:r>
        <w:rPr>
          <w:color w:val="000000"/>
          <w:sz w:val="20"/>
          <w:szCs w:val="20"/>
        </w:rPr>
        <w:t xml:space="preserve"> (New York: Penguin Press, 2016), 315–16.</w:t>
      </w:r>
    </w:p>
  </w:footnote>
  <w:footnote w:id="2">
    <w:p w14:paraId="00000065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DipnotBavurusu"/>
        </w:rPr>
        <w:footnoteRef/>
      </w:r>
      <w:r>
        <w:rPr>
          <w:color w:val="000000"/>
          <w:sz w:val="20"/>
          <w:szCs w:val="20"/>
        </w:rPr>
        <w:t xml:space="preserve"> Henry David Thoreau, “Walking,” in </w:t>
      </w:r>
      <w:r>
        <w:rPr>
          <w:i/>
          <w:color w:val="000000"/>
          <w:sz w:val="20"/>
          <w:szCs w:val="20"/>
        </w:rPr>
        <w:t>The Making of the American Essay</w:t>
      </w:r>
      <w:r>
        <w:rPr>
          <w:color w:val="000000"/>
          <w:sz w:val="20"/>
          <w:szCs w:val="20"/>
        </w:rPr>
        <w:t xml:space="preserve">, ed. John </w:t>
      </w:r>
      <w:proofErr w:type="spellStart"/>
      <w:r>
        <w:rPr>
          <w:color w:val="000000"/>
          <w:sz w:val="20"/>
          <w:szCs w:val="20"/>
        </w:rPr>
        <w:t>D’Agata</w:t>
      </w:r>
      <w:proofErr w:type="spellEnd"/>
      <w:r>
        <w:rPr>
          <w:color w:val="000000"/>
          <w:sz w:val="20"/>
          <w:szCs w:val="20"/>
        </w:rPr>
        <w:t xml:space="preserve"> (Minneapolis: </w:t>
      </w:r>
      <w:proofErr w:type="spellStart"/>
      <w:r>
        <w:rPr>
          <w:color w:val="000000"/>
          <w:sz w:val="20"/>
          <w:szCs w:val="20"/>
        </w:rPr>
        <w:t>Graywolf</w:t>
      </w:r>
      <w:proofErr w:type="spellEnd"/>
      <w:r>
        <w:rPr>
          <w:color w:val="000000"/>
          <w:sz w:val="20"/>
          <w:szCs w:val="20"/>
        </w:rPr>
        <w:t xml:space="preserve"> Press, 2016), 177–78.</w:t>
      </w:r>
    </w:p>
  </w:footnote>
  <w:footnote w:id="3">
    <w:p w14:paraId="00000066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DipnotBavurusu"/>
        </w:rPr>
        <w:footnoteRef/>
      </w:r>
      <w:r>
        <w:rPr>
          <w:color w:val="000000"/>
          <w:sz w:val="20"/>
          <w:szCs w:val="20"/>
        </w:rPr>
        <w:t xml:space="preserve"> Smith, </w:t>
      </w:r>
      <w:r>
        <w:rPr>
          <w:i/>
          <w:color w:val="000000"/>
          <w:sz w:val="20"/>
          <w:szCs w:val="20"/>
        </w:rPr>
        <w:t>Swing Time</w:t>
      </w:r>
      <w:r>
        <w:rPr>
          <w:color w:val="000000"/>
          <w:sz w:val="20"/>
          <w:szCs w:val="20"/>
        </w:rPr>
        <w:t>, 320.</w:t>
      </w:r>
    </w:p>
  </w:footnote>
  <w:footnote w:id="4">
    <w:p w14:paraId="00000067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DipnotBavurusu"/>
        </w:rPr>
        <w:footnoteRef/>
      </w:r>
      <w:r>
        <w:rPr>
          <w:color w:val="000000"/>
          <w:sz w:val="20"/>
          <w:szCs w:val="20"/>
        </w:rPr>
        <w:t xml:space="preserve"> Herman Melville, </w:t>
      </w:r>
      <w:r>
        <w:rPr>
          <w:i/>
          <w:color w:val="000000"/>
          <w:sz w:val="20"/>
          <w:szCs w:val="20"/>
        </w:rPr>
        <w:t>Moby-Dick; or, The Whale</w:t>
      </w:r>
      <w:r>
        <w:rPr>
          <w:color w:val="000000"/>
          <w:sz w:val="20"/>
          <w:szCs w:val="20"/>
        </w:rPr>
        <w:t xml:space="preserve"> (New York: Harper &amp; Brothers, 1851), 627, http://mel.h</w:t>
      </w:r>
      <w:r>
        <w:rPr>
          <w:color w:val="000000"/>
          <w:sz w:val="20"/>
          <w:szCs w:val="20"/>
        </w:rPr>
        <w:t>ofstra.edu/moby-dick-the-whale-proofs.html.</w:t>
      </w:r>
    </w:p>
  </w:footnote>
  <w:footnote w:id="5">
    <w:p w14:paraId="00000068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DipnotBavurusu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Jhumpa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Lahiri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In Other Words</w:t>
      </w:r>
      <w:r>
        <w:rPr>
          <w:color w:val="000000"/>
          <w:sz w:val="20"/>
          <w:szCs w:val="20"/>
        </w:rPr>
        <w:t>, trans. Ann Goldstein (New York: Alfred A. Knopf, 2016), 146.</w:t>
      </w:r>
    </w:p>
  </w:footnote>
  <w:footnote w:id="6">
    <w:p w14:paraId="00000069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DipnotBavurusu"/>
        </w:rPr>
        <w:footnoteRef/>
      </w:r>
      <w:r>
        <w:rPr>
          <w:color w:val="000000"/>
          <w:sz w:val="20"/>
          <w:szCs w:val="20"/>
        </w:rPr>
        <w:t xml:space="preserve"> Susan Satterfield, “Livy and the </w:t>
      </w:r>
      <w:proofErr w:type="spellStart"/>
      <w:r>
        <w:rPr>
          <w:color w:val="000000"/>
          <w:sz w:val="20"/>
          <w:szCs w:val="20"/>
        </w:rPr>
        <w:t>Pax</w:t>
      </w:r>
      <w:proofErr w:type="spellEnd"/>
      <w:r>
        <w:rPr>
          <w:color w:val="000000"/>
          <w:sz w:val="20"/>
          <w:szCs w:val="20"/>
        </w:rPr>
        <w:t xml:space="preserve"> Deum,” </w:t>
      </w:r>
      <w:r>
        <w:rPr>
          <w:i/>
          <w:color w:val="000000"/>
          <w:sz w:val="20"/>
          <w:szCs w:val="20"/>
        </w:rPr>
        <w:t>Classical Philology</w:t>
      </w:r>
      <w:r>
        <w:rPr>
          <w:color w:val="000000"/>
          <w:sz w:val="20"/>
          <w:szCs w:val="20"/>
        </w:rPr>
        <w:t xml:space="preserve"> 111, no. 2 (April 2016): 170.</w:t>
      </w:r>
    </w:p>
  </w:footnote>
  <w:footnote w:id="7">
    <w:p w14:paraId="0000006A" w14:textId="77777777" w:rsidR="00BB0D5E" w:rsidRDefault="0008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DipnotBavurusu"/>
        </w:rPr>
        <w:footnoteRef/>
      </w:r>
      <w:r>
        <w:rPr>
          <w:color w:val="000000"/>
          <w:sz w:val="20"/>
          <w:szCs w:val="20"/>
        </w:rPr>
        <w:t xml:space="preserve"> Cynthia Lillian </w:t>
      </w:r>
      <w:proofErr w:type="spellStart"/>
      <w:r>
        <w:rPr>
          <w:color w:val="000000"/>
          <w:sz w:val="20"/>
          <w:szCs w:val="20"/>
        </w:rPr>
        <w:t>Rutz</w:t>
      </w:r>
      <w:proofErr w:type="spellEnd"/>
      <w:r>
        <w:rPr>
          <w:color w:val="000000"/>
          <w:sz w:val="20"/>
          <w:szCs w:val="20"/>
        </w:rPr>
        <w:t>, “King Lear and Its Folktale Analogues” (PhD diss., University of Chicago, 2013), 99–100.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B" w14:textId="77777777" w:rsidR="00BB0D5E" w:rsidRDefault="00BB0D5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D70DF"/>
    <w:multiLevelType w:val="multilevel"/>
    <w:tmpl w:val="C7B2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E"/>
    <w:rsid w:val="00087D1A"/>
    <w:rsid w:val="00A639CB"/>
    <w:rsid w:val="00B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98"/>
    <w:rPr>
      <w:lang w:val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next w:val="Gvde"/>
    <w:uiPriority w:val="9"/>
    <w:unhideWhenUsed/>
    <w:qFormat/>
    <w:rsid w:val="00552798"/>
    <w:pPr>
      <w:keepNext/>
      <w:keepLines/>
      <w:spacing w:before="240" w:after="40"/>
      <w:outlineLvl w:val="3"/>
    </w:pPr>
    <w:rPr>
      <w:rFonts w:cs="Arial Unicode MS"/>
      <w:b/>
      <w:bCs/>
      <w:color w:val="000000"/>
      <w:u w:color="000000"/>
      <w:lang w:val="en-US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sid w:val="00552798"/>
    <w:rPr>
      <w:u w:val="single"/>
    </w:rPr>
  </w:style>
  <w:style w:type="paragraph" w:customStyle="1" w:styleId="stBilgiveAltBilgi">
    <w:name w:val="Üst Bilgi ve Alt Bilgi"/>
    <w:rsid w:val="00552798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Gvde">
    <w:name w:val="Gövde"/>
    <w:rsid w:val="00552798"/>
    <w:rPr>
      <w:rFonts w:cs="Arial Unicode MS"/>
      <w:color w:val="000000"/>
      <w:u w:color="000000"/>
    </w:rPr>
  </w:style>
  <w:style w:type="numbering" w:customStyle="1" w:styleId="Numaral">
    <w:name w:val="Numaralı"/>
    <w:rsid w:val="00552798"/>
  </w:style>
  <w:style w:type="character" w:customStyle="1" w:styleId="Yok">
    <w:name w:val="Yok"/>
    <w:rsid w:val="00552798"/>
  </w:style>
  <w:style w:type="character" w:customStyle="1" w:styleId="Hyperlink0">
    <w:name w:val="Hyperlink.0"/>
    <w:basedOn w:val="Yok"/>
    <w:rsid w:val="00552798"/>
    <w:rPr>
      <w:u w:val="single"/>
    </w:rPr>
  </w:style>
  <w:style w:type="numbering" w:customStyle="1" w:styleId="Numaral0">
    <w:name w:val="Numaralı.0"/>
    <w:rsid w:val="00552798"/>
  </w:style>
  <w:style w:type="paragraph" w:customStyle="1" w:styleId="Dipnot">
    <w:name w:val="Dipnot"/>
    <w:rsid w:val="00552798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aptanm">
    <w:name w:val="Saptanmış"/>
    <w:rsid w:val="00552798"/>
    <w:pPr>
      <w:spacing w:before="160"/>
    </w:pPr>
    <w:rPr>
      <w:rFonts w:ascii="Helvetica Neue" w:eastAsia="Helvetica Neue" w:hAnsi="Helvetica Neue" w:cs="Helvetica Neue"/>
      <w:color w:val="00000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5E7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5E76"/>
    <w:rPr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E5E76"/>
    <w:rPr>
      <w:vertAlign w:val="superscript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0c9kW1PvAxS0eWNtp8cyEkDRw==">AMUW2mW+T6Wta3Xp2sXMUkyQ/rWU5WSRomBiEXhinXKipN52GKtmAJ4jyEWGNrhkqP0XRRdJUm5ZEz/Sv8Oo0CTfSKfnLCg0MejLJkp9U6jd1RlOkWe8E7YGfDBhOnCFuLwzlvXDHt3o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4241</Characters>
  <Application>Microsoft Macintosh Word</Application>
  <DocSecurity>0</DocSecurity>
  <Lines>35</Lines>
  <Paragraphs>9</Paragraphs>
  <ScaleCrop>false</ScaleCrop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Office Kullanıcısı</cp:lastModifiedBy>
  <cp:revision>2</cp:revision>
  <dcterms:created xsi:type="dcterms:W3CDTF">2022-01-28T14:29:00Z</dcterms:created>
  <dcterms:modified xsi:type="dcterms:W3CDTF">2022-01-28T14:29:00Z</dcterms:modified>
</cp:coreProperties>
</file>